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1" w:rsidRPr="00BC4211" w:rsidRDefault="00535CCC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9797CA"/>
          <w:sz w:val="28"/>
          <w:szCs w:val="28"/>
          <w:lang w:eastAsia="en-GB"/>
        </w:rPr>
      </w:pPr>
      <w:r>
        <w:rPr>
          <w:rFonts w:ascii="Arial-BoldMT" w:eastAsiaTheme="minorEastAsia" w:hAnsi="Arial-BoldMT" w:cs="Arial-BoldMT"/>
          <w:b/>
          <w:bCs/>
          <w:color w:val="9797CA"/>
          <w:sz w:val="28"/>
          <w:szCs w:val="28"/>
          <w:lang w:eastAsia="en-GB"/>
        </w:rPr>
        <w:t xml:space="preserve">Local Plan </w:t>
      </w:r>
      <w:r w:rsidR="00BC4211" w:rsidRPr="00BC4211">
        <w:rPr>
          <w:rFonts w:ascii="Arial-BoldMT" w:eastAsiaTheme="minorEastAsia" w:hAnsi="Arial-BoldMT" w:cs="Arial-BoldMT"/>
          <w:b/>
          <w:bCs/>
          <w:color w:val="9797CA"/>
          <w:sz w:val="28"/>
          <w:szCs w:val="28"/>
          <w:lang w:eastAsia="en-GB"/>
        </w:rPr>
        <w:t>Policy ENV 6</w:t>
      </w: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>Green Infrastructure</w:t>
      </w: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The value and strategic role of the following Green Infrastructure corridors within the Borough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will be protected and enhanced in line with the hierarchy below.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a. Regional importance: ‘Coast’ and the ‘River 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Derwent</w:t>
      </w:r>
      <w:proofErr w:type="spell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’</w:t>
      </w: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b. Sub-Regional importance: ‘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Esk</w:t>
      </w:r>
      <w:proofErr w:type="spell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’</w:t>
      </w: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c. Locally important assets and corridors, including the ‘Hertford’ corridor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Proposals for the creation of new Green Infrastructure assets that improve connectivity and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accessibility within the above corridors, or lead to the creation of new corridors, will be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supported. Developments that will have an unacceptable impact on Green Infrastructure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will be resisted unless other policy considerations within this Local Plan indicate otherwise.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hAnsi="Arial-BoldMT" w:cs="Arial-BoldMT"/>
          <w:b/>
          <w:bCs/>
          <w:color w:val="578AD7"/>
          <w:sz w:val="24"/>
          <w:szCs w:val="24"/>
        </w:rPr>
        <w:t xml:space="preserve"> </w:t>
      </w:r>
      <w:r w:rsidRPr="00BC4211">
        <w:rPr>
          <w:rFonts w:ascii="Arial-BoldMT" w:eastAsiaTheme="minorEastAsia" w:hAnsi="Arial-BoldMT" w:cs="Arial-BoldMT"/>
          <w:b/>
          <w:bCs/>
          <w:color w:val="578AD7"/>
          <w:sz w:val="24"/>
          <w:szCs w:val="24"/>
          <w:lang w:eastAsia="en-GB"/>
        </w:rPr>
        <w:t xml:space="preserve">8.60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The Borough contains a high number and diverse range of green spaces, all of which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contribute to environmental quality within the area. The general areas of these are shown on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Map 8.1. It is essential that these individual sites are managed as a multi-functional, connected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network of Green Infrastructure "assets" in order to maximise their cumulative potential to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support natural and ecological processes, to address the challenges associated with climate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change, including surface water, river and coastal flooding and to ensure a high quality of life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for local communities. Green Infrastructure assets incorporate natural, semi-natural and manmade sites, </w:t>
      </w:r>
      <w:proofErr w:type="gram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such</w:t>
      </w:r>
      <w:proofErr w:type="gram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as: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Parks and Gardens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– urban parks, Country Parks, formal gardens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Amenity </w:t>
      </w:r>
      <w:proofErr w:type="spellStart"/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>Greenspace</w:t>
      </w:r>
      <w:proofErr w:type="spellEnd"/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– informal recreation spaces, housing green spaces, 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domesticgardens</w:t>
      </w:r>
      <w:proofErr w:type="spell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, village greens, urban commons, other incidental space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Natural and semi-natural urban </w:t>
      </w:r>
      <w:proofErr w:type="spellStart"/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>greenspaces</w:t>
      </w:r>
      <w:proofErr w:type="spellEnd"/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 - 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woodland and scrub, </w:t>
      </w:r>
      <w:proofErr w:type="gramStart"/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grassland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(</w:t>
      </w:r>
      <w:proofErr w:type="spellStart"/>
      <w:proofErr w:type="gram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e.g.downland</w:t>
      </w:r>
      <w:proofErr w:type="spell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and meadow), heath or moor, wetlands, open and running water, wastelands</w:t>
      </w:r>
      <w:r w:rsidR="00AA1B46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and disturbed ground), bare rock habitats (e.g. cliffs and quarries)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Green corridors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– rivers and canals including their banks, road and rail corridors, cycling</w:t>
      </w:r>
      <w:r w:rsidR="00AA1B46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routes, pedestrian paths, and rights of way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000000"/>
          <w:sz w:val="24"/>
          <w:szCs w:val="24"/>
          <w:lang w:eastAsia="en-GB"/>
        </w:rPr>
        <w:t xml:space="preserve">Other -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allotments, community gardens, city farms, cemeteries and churchyards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color w:val="578AD7"/>
          <w:sz w:val="24"/>
          <w:szCs w:val="24"/>
          <w:lang w:eastAsia="en-GB"/>
        </w:rPr>
      </w:pPr>
    </w:p>
    <w:p w:rsidR="00BC4211" w:rsidRPr="00620674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578AD7"/>
          <w:sz w:val="24"/>
          <w:szCs w:val="24"/>
          <w:lang w:eastAsia="en-GB"/>
        </w:rPr>
        <w:t xml:space="preserve">8.61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The Borough Council has worked closely with Natural England and North Yorkshire</w:t>
      </w:r>
      <w:r w:rsidR="00620674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County Council to identify and define Green Infrastructure corridors based on the density,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i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mportance and connectivity of existing Green Infrastructure assets within the Borough and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neighbouring areas. A hierarchy of Green Infrastructure corridors has been established as a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t>result of this exercise; identifying corridors of regional, sub-regional and in some cases, local /district, importance. The strategic importance of these corridors will be protected and enhanced</w:t>
      </w:r>
      <w:r>
        <w:rPr>
          <w:rFonts w:ascii="ArialMT" w:eastAsiaTheme="minorEastAsia" w:hAnsi="ArialMT" w:cs="ArialMT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t>by improving linkages between existing assets and by promoting the development of new assets</w:t>
      </w:r>
      <w:r>
        <w:rPr>
          <w:rFonts w:ascii="ArialMT" w:eastAsiaTheme="minorEastAsia" w:hAnsi="ArialMT" w:cs="ArialMT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t xml:space="preserve">where appropriate. The Borough Council will work with neighbouring authorities and the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lastRenderedPageBreak/>
        <w:t>North</w:t>
      </w:r>
      <w:r>
        <w:rPr>
          <w:rFonts w:ascii="ArialMT" w:eastAsiaTheme="minorEastAsia" w:hAnsi="ArialMT" w:cs="ArialMT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t>and North Yorkshire Local Nature Partnership to identify and deliver projects within Green</w:t>
      </w:r>
      <w:r w:rsidR="00620674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sz w:val="24"/>
          <w:szCs w:val="24"/>
          <w:lang w:eastAsia="en-GB"/>
        </w:rPr>
        <w:t>Infrastructure corridors that cross local authority boundaries.</w:t>
      </w:r>
      <w:r w:rsidRPr="00BC4211">
        <w:rPr>
          <w:rFonts w:ascii="Arial-BoldMT" w:hAnsi="Arial-BoldMT" w:cs="Arial-BoldMT"/>
          <w:b/>
          <w:bCs/>
          <w:color w:val="578AD7"/>
          <w:sz w:val="24"/>
          <w:szCs w:val="24"/>
        </w:rPr>
        <w:t xml:space="preserve"> 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78AD7"/>
          <w:sz w:val="24"/>
          <w:szCs w:val="24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eastAsiaTheme="minorEastAsia" w:hAnsi="Arial-BoldMT" w:cs="Arial-BoldMT"/>
          <w:b/>
          <w:bCs/>
          <w:color w:val="578AD7"/>
          <w:sz w:val="24"/>
          <w:szCs w:val="24"/>
          <w:lang w:eastAsia="en-GB"/>
        </w:rPr>
        <w:t xml:space="preserve">8.62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The most significant Green Infrastructure corridors within the Borough are the ‘Coast’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and the ‘River 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Derwent</w:t>
      </w:r>
      <w:proofErr w:type="spell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’. The Coast corridor covers the entire length of the Yorkshire coastline,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crossing through 3 districts and is of regional importance. Within the Borough, the coast corridor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is characterised by a mix of open coastal landscapes, historic settlements and holiday parks.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It comprises a large number of important natural and semi-natural 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habitats</w:t>
      </w:r>
      <w:proofErr w:type="gram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,including</w:t>
      </w:r>
      <w:proofErr w:type="spellEnd"/>
      <w:proofErr w:type="gramEnd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proofErr w:type="spellStart"/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Flamborough</w:t>
      </w:r>
      <w:proofErr w:type="spellEnd"/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Head, which is an area of European, National and local importance as an ornithological and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marine habitat. Parts of the Borough coastline are also designated as Heritage Coast.</w:t>
      </w:r>
    </w:p>
    <w:p w:rsid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</w:p>
    <w:p w:rsidR="00BC4211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-BoldMT" w:hAnsi="Arial-BoldMT" w:cs="Arial-BoldMT"/>
          <w:b/>
          <w:bCs/>
          <w:color w:val="578AD7"/>
          <w:sz w:val="24"/>
          <w:szCs w:val="24"/>
        </w:rPr>
        <w:t xml:space="preserve"> </w:t>
      </w:r>
      <w:r w:rsidRPr="00BC4211">
        <w:rPr>
          <w:rFonts w:ascii="Arial-BoldMT" w:eastAsiaTheme="minorEastAsia" w:hAnsi="Arial-BoldMT" w:cs="Arial-BoldMT"/>
          <w:b/>
          <w:bCs/>
          <w:color w:val="578AD7"/>
          <w:sz w:val="24"/>
          <w:szCs w:val="24"/>
          <w:lang w:eastAsia="en-GB"/>
        </w:rPr>
        <w:t xml:space="preserve">8.64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Green Infrastructure also functions at the local level, connecting urban areas to their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wider rural hinterland, providing opportunities for recreation and means of accessing places.</w:t>
      </w:r>
    </w:p>
    <w:p w:rsidR="00362863" w:rsidRPr="00BC4211" w:rsidRDefault="00BC4211" w:rsidP="00BC4211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</w:pP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The Borough Council will look to develop a Green Infrastructure Supplementary Planning</w:t>
      </w:r>
      <w:r w:rsidR="00620674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Document for the Borough, which will support the implementation of this Local Plan policy and</w:t>
      </w:r>
      <w:r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 xml:space="preserve"> </w:t>
      </w:r>
      <w:r w:rsidRPr="00BC4211">
        <w:rPr>
          <w:rFonts w:ascii="ArialMT" w:eastAsiaTheme="minorEastAsia" w:hAnsi="ArialMT" w:cs="ArialMT"/>
          <w:color w:val="000000"/>
          <w:sz w:val="24"/>
          <w:szCs w:val="24"/>
          <w:lang w:eastAsia="en-GB"/>
        </w:rPr>
        <w:t>provide a clear vision and framework for Green Infrastructure provision at the local level.</w:t>
      </w:r>
    </w:p>
    <w:sectPr w:rsidR="00362863" w:rsidRPr="00BC4211" w:rsidSect="0036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211"/>
    <w:rsid w:val="00362863"/>
    <w:rsid w:val="004054DF"/>
    <w:rsid w:val="00535CCC"/>
    <w:rsid w:val="00620674"/>
    <w:rsid w:val="007E759F"/>
    <w:rsid w:val="00AA1B46"/>
    <w:rsid w:val="00B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2015-10-27T16:40:00Z</dcterms:created>
  <dcterms:modified xsi:type="dcterms:W3CDTF">2015-11-02T15:04:00Z</dcterms:modified>
</cp:coreProperties>
</file>